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5F74B" w14:textId="7CBD30AB" w:rsidR="00AE75EE" w:rsidRDefault="00721467" w:rsidP="00721467">
      <w:pPr>
        <w:pStyle w:val="Heading1"/>
      </w:pPr>
      <w:r>
        <w:t>Ordinance 24C-18 Summary</w:t>
      </w:r>
    </w:p>
    <w:p w14:paraId="77FECCFD" w14:textId="0B584F9B" w:rsidR="00157400" w:rsidRDefault="003F66C2" w:rsidP="00157400">
      <w:pPr>
        <w:pStyle w:val="Heading2"/>
      </w:pPr>
      <w:r>
        <w:t>NOVEMBER 19, 2024, PUBLIC HEARING</w:t>
      </w:r>
    </w:p>
    <w:p w14:paraId="01B87341" w14:textId="487E76D8" w:rsidR="00721467" w:rsidRDefault="00157400" w:rsidP="00721467">
      <w:pPr>
        <w:rPr>
          <w:rFonts w:cstheme="minorHAnsi"/>
        </w:rPr>
      </w:pPr>
      <w:r>
        <w:t xml:space="preserve">On November 19, 2024, the Mercer Island City Council will hold a public hearing and conduct the first reading of an ordinance to amend several sections of </w:t>
      </w:r>
      <w:hyperlink r:id="rId5" w:history="1">
        <w:r w:rsidRPr="00157400">
          <w:rPr>
            <w:rStyle w:val="Hyperlink"/>
          </w:rPr>
          <w:t>Chapter 19.11 Mercer Island City Code (MICC)</w:t>
        </w:r>
      </w:hyperlink>
      <w:r>
        <w:t xml:space="preserve">. These code amendments are required </w:t>
      </w:r>
      <w:r>
        <w:rPr>
          <w:rFonts w:cstheme="minorHAnsi"/>
        </w:rPr>
        <w:t>to</w:t>
      </w:r>
      <w:r w:rsidRPr="00C57183">
        <w:rPr>
          <w:rFonts w:cstheme="minorHAnsi"/>
        </w:rPr>
        <w:t xml:space="preserve"> </w:t>
      </w:r>
      <w:r w:rsidRPr="003F3A5C">
        <w:rPr>
          <w:rFonts w:cstheme="minorHAnsi"/>
        </w:rPr>
        <w:t>achiev</w:t>
      </w:r>
      <w:r>
        <w:rPr>
          <w:rFonts w:cstheme="minorHAnsi"/>
        </w:rPr>
        <w:t>e</w:t>
      </w:r>
      <w:bookmarkStart w:id="0" w:name="_Hlk177725105"/>
      <w:r w:rsidRPr="003F3A5C">
        <w:rPr>
          <w:rFonts w:cstheme="minorHAnsi"/>
        </w:rPr>
        <w:t xml:space="preserve"> the </w:t>
      </w:r>
      <w:r>
        <w:rPr>
          <w:rFonts w:cstheme="minorHAnsi"/>
        </w:rPr>
        <w:t xml:space="preserve">WA state- and King County-mandated </w:t>
      </w:r>
      <w:r w:rsidRPr="00087C9A">
        <w:rPr>
          <w:rFonts w:cstheme="minorHAnsi"/>
        </w:rPr>
        <w:t xml:space="preserve">affordable housing target </w:t>
      </w:r>
      <w:bookmarkEnd w:id="0"/>
      <w:r>
        <w:rPr>
          <w:rFonts w:cstheme="minorHAnsi"/>
        </w:rPr>
        <w:t>planned to be adopted in</w:t>
      </w:r>
      <w:r>
        <w:rPr>
          <w:rFonts w:cstheme="minorHAnsi"/>
        </w:rPr>
        <w:t xml:space="preserve"> the 2024 Comprehensive Plan Periodic </w:t>
      </w:r>
      <w:r>
        <w:rPr>
          <w:rFonts w:cstheme="minorHAnsi"/>
        </w:rPr>
        <w:t>Review. Cities and counties in WA are required to conduct a periodic review of their comprehensive plans and adopt affordable housing targets</w:t>
      </w:r>
      <w:r>
        <w:rPr>
          <w:rFonts w:cstheme="minorHAnsi"/>
        </w:rPr>
        <w:t xml:space="preserve"> by the Washington State Growth Management Act (GMA)</w:t>
      </w:r>
      <w:r>
        <w:rPr>
          <w:rFonts w:cstheme="minorHAnsi"/>
        </w:rPr>
        <w:t xml:space="preserve"> (</w:t>
      </w:r>
      <w:hyperlink r:id="rId6" w:history="1">
        <w:r w:rsidRPr="00157400">
          <w:rPr>
            <w:rStyle w:val="Hyperlink"/>
            <w:rFonts w:cstheme="minorHAnsi"/>
          </w:rPr>
          <w:t>Chapter 36.70A RCW</w:t>
        </w:r>
      </w:hyperlink>
      <w:r>
        <w:rPr>
          <w:rFonts w:cstheme="minorHAnsi"/>
        </w:rPr>
        <w:t>)</w:t>
      </w:r>
      <w:r>
        <w:rPr>
          <w:rFonts w:cstheme="minorHAnsi"/>
        </w:rPr>
        <w:t>.</w:t>
      </w:r>
    </w:p>
    <w:p w14:paraId="6BA5BA05" w14:textId="77777777" w:rsidR="00721467" w:rsidRDefault="00721467" w:rsidP="00721467"/>
    <w:p w14:paraId="08383561" w14:textId="47D7D423" w:rsidR="00157400" w:rsidRDefault="003F66C2" w:rsidP="00157400">
      <w:pPr>
        <w:pStyle w:val="Heading2"/>
      </w:pPr>
      <w:r>
        <w:t>BACKGROUND</w:t>
      </w:r>
    </w:p>
    <w:p w14:paraId="1E81488A" w14:textId="77777777" w:rsidR="00157400" w:rsidRDefault="00157400" w:rsidP="00157400">
      <w:pPr>
        <w:spacing w:before="120"/>
      </w:pPr>
      <w:r>
        <w:t>The City began the 2024 periodic review of its Comprehensive Plan in March 2022, when the City Council approved the Scope of Work, Master Schedule, and Public Participation Plan (</w:t>
      </w:r>
      <w:hyperlink r:id="rId7" w:history="1">
        <w:r w:rsidRPr="00613BD1">
          <w:rPr>
            <w:rStyle w:val="Hyperlink"/>
          </w:rPr>
          <w:t>Resolution No. 1621</w:t>
        </w:r>
      </w:hyperlink>
      <w:r>
        <w:rPr>
          <w:rStyle w:val="Hyperlink"/>
        </w:rPr>
        <w:t>)</w:t>
      </w:r>
      <w:r w:rsidRPr="00CC275B">
        <w:t xml:space="preserve">. </w:t>
      </w:r>
      <w:r>
        <w:t xml:space="preserve">Per the WA Growth Management Act (GMA), the 2024 Comprehensive Plan periodic review must be adopted by December 31, 2024. </w:t>
      </w:r>
    </w:p>
    <w:p w14:paraId="60C88689" w14:textId="77777777" w:rsidR="00157400" w:rsidRDefault="00157400" w:rsidP="00157400"/>
    <w:p w14:paraId="07DE1CA6" w14:textId="77777777" w:rsidR="00157400" w:rsidRDefault="00157400" w:rsidP="00157400">
      <w:pPr>
        <w:pStyle w:val="Heading3"/>
      </w:pPr>
      <w:r>
        <w:t>Capacity Deficit</w:t>
      </w:r>
    </w:p>
    <w:p w14:paraId="6EFDCED7" w14:textId="77777777" w:rsidR="00157400" w:rsidRDefault="00157400" w:rsidP="00157400">
      <w:bookmarkStart w:id="1" w:name="_Hlk177541994"/>
      <w:r>
        <w:t>Presented to the City Council on January 2, 2024, the</w:t>
      </w:r>
      <w:r>
        <w:rPr>
          <w:rFonts w:cstheme="minorHAnsi"/>
        </w:rPr>
        <w:t xml:space="preserve"> Land Capacity Analysis Supplement evaluates whether the City has adequate development capacity to accommodate its housing needs, as determined by the state and King County, at various income levels (</w:t>
      </w:r>
      <w:hyperlink r:id="rId8" w:history="1">
        <w:r w:rsidRPr="000C4E81">
          <w:rPr>
            <w:rStyle w:val="Hyperlink"/>
            <w:rFonts w:cstheme="minorHAnsi"/>
          </w:rPr>
          <w:t>AB 6385</w:t>
        </w:r>
      </w:hyperlink>
      <w:r>
        <w:rPr>
          <w:rFonts w:cstheme="minorHAnsi"/>
        </w:rPr>
        <w:t xml:space="preserve">). The analysis was conducted based on the </w:t>
      </w:r>
      <w:hyperlink r:id="rId9" w:history="1">
        <w:r w:rsidRPr="004A4026">
          <w:rPr>
            <w:rStyle w:val="Hyperlink"/>
            <w:rFonts w:cstheme="minorHAnsi"/>
          </w:rPr>
          <w:t>Commerce guidance for evaluating land capacity</w:t>
        </w:r>
      </w:hyperlink>
      <w:r>
        <w:rPr>
          <w:rFonts w:cstheme="minorHAnsi"/>
        </w:rPr>
        <w:t>. The Commerce guidance details a process by which cities would assume that higher density development will accommodate lower-income households. In high-cost communities like Mercer Island, the guidance assumes that nearly all of the housing needs below 120 percent of the area median income (AMI) would be accommodated in multifamily and mixed-use zones. Within that framework, the Land Capacity Analysis Supplement finds a 143-unit capacity deficit in multifamily and mixed-use zones (</w:t>
      </w:r>
      <w:hyperlink r:id="rId10" w:history="1">
        <w:r w:rsidRPr="00E01605">
          <w:rPr>
            <w:rStyle w:val="Hyperlink"/>
            <w:rFonts w:cstheme="minorHAnsi"/>
          </w:rPr>
          <w:t>AB 6385</w:t>
        </w:r>
      </w:hyperlink>
      <w:r>
        <w:rPr>
          <w:rFonts w:cstheme="minorHAnsi"/>
        </w:rPr>
        <w:t>, Exhibit 1). HB 1220 and the Commerce Guidance require the City t</w:t>
      </w:r>
      <w:r>
        <w:t>o address this deficit during the Comprehensive Plan Periodic Review by increasing mixed-use and/or multifamily development capacity.</w:t>
      </w:r>
    </w:p>
    <w:bookmarkEnd w:id="1"/>
    <w:p w14:paraId="19F4F356" w14:textId="77777777" w:rsidR="00157400" w:rsidRPr="007A0E0A" w:rsidRDefault="00157400" w:rsidP="00157400"/>
    <w:p w14:paraId="6527ED00" w14:textId="77777777" w:rsidR="00157400" w:rsidRDefault="00157400" w:rsidP="00157400">
      <w:pPr>
        <w:pStyle w:val="Heading3"/>
      </w:pPr>
      <w:r>
        <w:t xml:space="preserve">Council Direction </w:t>
      </w:r>
    </w:p>
    <w:p w14:paraId="47BC1322" w14:textId="77777777" w:rsidR="00157400" w:rsidRDefault="00157400" w:rsidP="00157400">
      <w:r>
        <w:t xml:space="preserve">On January 16, 2024, the City Council provided direction that the multifamily and mixed-use development capacity deficit should be addressed in the Town Center during the Comprehensive Plan periodic review. The Housing Element included policy direction for increasing the development capacity in the Town Center, based on the City Council direction. </w:t>
      </w:r>
    </w:p>
    <w:p w14:paraId="1536DC0A" w14:textId="77777777" w:rsidR="00157400" w:rsidRDefault="00157400" w:rsidP="00157400"/>
    <w:p w14:paraId="74A4398E" w14:textId="1C697668" w:rsidR="00157400" w:rsidRDefault="00157400" w:rsidP="00157400">
      <w:r>
        <w:t>On October 1, 2024, the City Council provided additional direction to increase affordable housing capacity in the Town Center. The City Council directed</w:t>
      </w:r>
      <w:r w:rsidR="003F66C2">
        <w:t xml:space="preserve"> staff to draft an ordinance making </w:t>
      </w:r>
      <w:r>
        <w:t>the following</w:t>
      </w:r>
      <w:r w:rsidR="003F66C2">
        <w:t xml:space="preserve"> amendments</w:t>
      </w:r>
      <w:r>
        <w:t>:</w:t>
      </w:r>
    </w:p>
    <w:p w14:paraId="5B40F931" w14:textId="77777777" w:rsidR="00157400" w:rsidRDefault="00157400" w:rsidP="00157400"/>
    <w:p w14:paraId="66A4A956" w14:textId="77777777" w:rsidR="00157400" w:rsidRDefault="00157400" w:rsidP="00157400">
      <w:pPr>
        <w:pStyle w:val="ListParagraph"/>
        <w:numPr>
          <w:ilvl w:val="0"/>
          <w:numId w:val="5"/>
        </w:numPr>
        <w:spacing w:after="160" w:line="259" w:lineRule="auto"/>
        <w:jc w:val="left"/>
      </w:pPr>
      <w:r>
        <w:lastRenderedPageBreak/>
        <w:t xml:space="preserve">Increase multifamily and mixed-use development capacity in the Town Center by raising the maximum building height from five to seven stories in the TC-5 and TC-4 Plus subareas and from four to five stories in the TC-4 subarea; </w:t>
      </w:r>
    </w:p>
    <w:p w14:paraId="107B2881" w14:textId="77777777" w:rsidR="003F66C2" w:rsidRDefault="003F66C2" w:rsidP="003F66C2">
      <w:pPr>
        <w:pStyle w:val="ListParagraph"/>
        <w:spacing w:after="160" w:line="259" w:lineRule="auto"/>
        <w:ind w:left="720"/>
        <w:jc w:val="left"/>
      </w:pPr>
    </w:p>
    <w:p w14:paraId="36CBDDD8" w14:textId="42DEE5DD" w:rsidR="003F66C2" w:rsidRDefault="00157400" w:rsidP="003F66C2">
      <w:pPr>
        <w:pStyle w:val="ListParagraph"/>
        <w:numPr>
          <w:ilvl w:val="0"/>
          <w:numId w:val="5"/>
        </w:numPr>
        <w:spacing w:line="259" w:lineRule="auto"/>
        <w:jc w:val="left"/>
      </w:pPr>
      <w:r>
        <w:t xml:space="preserve">Increase the required percentage of affordable housing in new development in Town Center from 10 percent to 15 percent; and </w:t>
      </w:r>
    </w:p>
    <w:p w14:paraId="7BA697A5" w14:textId="77777777" w:rsidR="003F66C2" w:rsidRDefault="003F66C2" w:rsidP="003F66C2">
      <w:pPr>
        <w:spacing w:line="259" w:lineRule="auto"/>
        <w:jc w:val="left"/>
      </w:pPr>
    </w:p>
    <w:p w14:paraId="06655BB5" w14:textId="77777777" w:rsidR="00157400" w:rsidRDefault="00157400" w:rsidP="003F66C2">
      <w:pPr>
        <w:pStyle w:val="ListParagraph"/>
        <w:numPr>
          <w:ilvl w:val="0"/>
          <w:numId w:val="5"/>
        </w:numPr>
        <w:spacing w:line="259" w:lineRule="auto"/>
        <w:jc w:val="left"/>
      </w:pPr>
      <w:r>
        <w:t>Deepen the affordability requirement for affordable housing units in new development in Town Center from 60 percent to 50 percent of the area median income (AMI) for rental housing and from 90 percent to 80 percent of the AMI for ownership housing.</w:t>
      </w:r>
    </w:p>
    <w:p w14:paraId="797BE41A" w14:textId="77777777" w:rsidR="00157400" w:rsidRDefault="00157400" w:rsidP="00157400"/>
    <w:p w14:paraId="027A654D" w14:textId="2ED3C626" w:rsidR="00157400" w:rsidRPr="00157400" w:rsidRDefault="00157400" w:rsidP="00157400">
      <w:r>
        <w:t>To implement the</w:t>
      </w:r>
      <w:r w:rsidR="003F66C2">
        <w:t xml:space="preserve"> City Council direction and</w:t>
      </w:r>
      <w:r>
        <w:t xml:space="preserve"> </w:t>
      </w:r>
      <w:r w:rsidR="003F66C2">
        <w:t xml:space="preserve">remain consistent with the </w:t>
      </w:r>
      <w:r>
        <w:t>Housing Element</w:t>
      </w:r>
      <w:r w:rsidR="003F66C2">
        <w:t xml:space="preserve"> of the Comprehensive Plan</w:t>
      </w:r>
      <w:r>
        <w:t xml:space="preserve">, Chapter 19.11 MICC needs to be amended to add development capacity in the Town Center. </w:t>
      </w:r>
      <w:r w:rsidR="003F66C2">
        <w:t>Ordinance 24C-18 will make the necessary amendments to ensure that the development code is consistent with the updated Comprehensive Plan</w:t>
      </w:r>
      <w:r>
        <w:t>.</w:t>
      </w:r>
    </w:p>
    <w:p w14:paraId="7B8B5A6B" w14:textId="77777777" w:rsidR="00157400" w:rsidRDefault="00157400" w:rsidP="00721467">
      <w:pPr>
        <w:pStyle w:val="ListParagraph"/>
      </w:pPr>
    </w:p>
    <w:p w14:paraId="386FF4F8" w14:textId="6036E44E" w:rsidR="00157400" w:rsidRDefault="003F66C2" w:rsidP="00157400">
      <w:pPr>
        <w:pStyle w:val="Heading2"/>
      </w:pPr>
      <w:r>
        <w:t>ORDINANCE 24C-18</w:t>
      </w:r>
    </w:p>
    <w:p w14:paraId="7AF532DD" w14:textId="60487442" w:rsidR="00157400" w:rsidRDefault="00157400" w:rsidP="00721467">
      <w:pPr>
        <w:pStyle w:val="ListParagraph"/>
      </w:pPr>
      <w:r>
        <w:t>Staff is in the process of preparing the draft ordinance to implement the City Council direction from October 1, 2024. Th</w:t>
      </w:r>
      <w:r w:rsidR="003F66C2">
        <w:t>e o</w:t>
      </w:r>
      <w:r>
        <w:t xml:space="preserve">rdinance </w:t>
      </w:r>
      <w:r w:rsidR="003F66C2">
        <w:t>will be n</w:t>
      </w:r>
      <w:r>
        <w:t>umber</w:t>
      </w:r>
      <w:r w:rsidR="003F66C2">
        <w:t>ed</w:t>
      </w:r>
      <w:r>
        <w:t xml:space="preserve"> 24C-18. The first reading draft of Ordinance No. 24C-18 will be published with the November 19, 2024, City Council meeting packet.</w:t>
      </w:r>
    </w:p>
    <w:p w14:paraId="338320FC" w14:textId="77777777" w:rsidR="00157400" w:rsidRDefault="00157400" w:rsidP="00721467">
      <w:pPr>
        <w:pStyle w:val="ListParagraph"/>
      </w:pPr>
    </w:p>
    <w:p w14:paraId="00A5A602" w14:textId="36957296" w:rsidR="00721467" w:rsidRDefault="00721467" w:rsidP="00721467">
      <w:r>
        <w:t>Ordinance 24C-18 is expected to amend six sections of Chapter 19.11 MICC as follows:</w:t>
      </w:r>
    </w:p>
    <w:p w14:paraId="5F6D0001" w14:textId="77777777" w:rsidR="00721467" w:rsidRPr="00721467" w:rsidRDefault="00721467" w:rsidP="00721467"/>
    <w:p w14:paraId="6849F61A" w14:textId="5915ADBF" w:rsidR="00721467" w:rsidRDefault="00721467" w:rsidP="00721467">
      <w:pPr>
        <w:numPr>
          <w:ilvl w:val="0"/>
          <w:numId w:val="3"/>
        </w:numPr>
      </w:pPr>
      <w:r w:rsidRPr="00721467">
        <w:rPr>
          <w:b/>
          <w:bCs/>
        </w:rPr>
        <w:t>MICC 19.11.015</w:t>
      </w:r>
      <w:r w:rsidR="00157400">
        <w:rPr>
          <w:b/>
          <w:bCs/>
        </w:rPr>
        <w:t xml:space="preserve"> </w:t>
      </w:r>
      <w:r w:rsidR="00157400" w:rsidRPr="00157400">
        <w:rPr>
          <w:b/>
          <w:bCs/>
        </w:rPr>
        <w:t>– Town Center Subareas</w:t>
      </w:r>
      <w:r w:rsidRPr="00721467">
        <w:t xml:space="preserve">: This section </w:t>
      </w:r>
      <w:r>
        <w:t>would be</w:t>
      </w:r>
      <w:r w:rsidRPr="00721467">
        <w:t xml:space="preserve"> amended to change the names of the </w:t>
      </w:r>
      <w:r>
        <w:t xml:space="preserve">Town Center </w:t>
      </w:r>
      <w:r w:rsidRPr="00721467">
        <w:t>subareas as follow: TC-5 to TC-7, TC-4 Plus to TC-5 Plus, and TC-4 to TC-5.</w:t>
      </w:r>
    </w:p>
    <w:p w14:paraId="7B11FD49" w14:textId="77777777" w:rsidR="00721467" w:rsidRPr="00721467" w:rsidRDefault="00721467" w:rsidP="00721467">
      <w:pPr>
        <w:ind w:left="720"/>
      </w:pPr>
    </w:p>
    <w:p w14:paraId="7873443E" w14:textId="5FDA2A70" w:rsidR="00721467" w:rsidRDefault="00721467" w:rsidP="00721467">
      <w:pPr>
        <w:numPr>
          <w:ilvl w:val="0"/>
          <w:numId w:val="3"/>
        </w:numPr>
      </w:pPr>
      <w:r w:rsidRPr="00721467">
        <w:rPr>
          <w:b/>
          <w:bCs/>
        </w:rPr>
        <w:t>MICC 19.11.020</w:t>
      </w:r>
      <w:r w:rsidR="00157400">
        <w:rPr>
          <w:b/>
          <w:bCs/>
        </w:rPr>
        <w:t xml:space="preserve"> – Land Uses</w:t>
      </w:r>
      <w:r w:rsidRPr="00721467">
        <w:t xml:space="preserve">: This section </w:t>
      </w:r>
      <w:r>
        <w:t>would be</w:t>
      </w:r>
      <w:r w:rsidRPr="00721467">
        <w:t xml:space="preserve"> amended to update the subarea names to remain consistent with changes to MICC 19.11.015.</w:t>
      </w:r>
    </w:p>
    <w:p w14:paraId="2BCDE6AE" w14:textId="77777777" w:rsidR="00721467" w:rsidRPr="00721467" w:rsidRDefault="00721467" w:rsidP="00721467"/>
    <w:p w14:paraId="790E07F0" w14:textId="66E4DD66" w:rsidR="00721467" w:rsidRDefault="00721467" w:rsidP="00721467">
      <w:pPr>
        <w:numPr>
          <w:ilvl w:val="0"/>
          <w:numId w:val="3"/>
        </w:numPr>
      </w:pPr>
      <w:r w:rsidRPr="00721467">
        <w:rPr>
          <w:b/>
          <w:bCs/>
        </w:rPr>
        <w:t>MICC 19.11.030</w:t>
      </w:r>
      <w:r w:rsidR="00157400">
        <w:rPr>
          <w:b/>
          <w:bCs/>
        </w:rPr>
        <w:t xml:space="preserve"> – Bulk Regulations</w:t>
      </w:r>
      <w:r w:rsidRPr="00721467">
        <w:t xml:space="preserve">: This section </w:t>
      </w:r>
      <w:r>
        <w:t>would be</w:t>
      </w:r>
      <w:r w:rsidRPr="00721467">
        <w:t xml:space="preserve"> amended to change the maximum building height as follows: TC-7 – seven stories or 87 feet, TC-5 Plus – seven stories or 87 feet, and TC-5 – 5 stories or 63 feet.</w:t>
      </w:r>
    </w:p>
    <w:p w14:paraId="60B478A3" w14:textId="77777777" w:rsidR="00721467" w:rsidRPr="00721467" w:rsidRDefault="00721467" w:rsidP="00721467"/>
    <w:p w14:paraId="2A53877D" w14:textId="151E8216" w:rsidR="00721467" w:rsidRDefault="00721467" w:rsidP="00721467">
      <w:pPr>
        <w:numPr>
          <w:ilvl w:val="0"/>
          <w:numId w:val="2"/>
        </w:numPr>
      </w:pPr>
      <w:r w:rsidRPr="00721467">
        <w:rPr>
          <w:b/>
          <w:bCs/>
        </w:rPr>
        <w:t>MICC 19.11.040</w:t>
      </w:r>
      <w:r w:rsidR="00157400">
        <w:rPr>
          <w:b/>
          <w:bCs/>
        </w:rPr>
        <w:t xml:space="preserve"> – Affordable Housing</w:t>
      </w:r>
      <w:r w:rsidRPr="00721467">
        <w:t xml:space="preserve">: This section </w:t>
      </w:r>
      <w:r>
        <w:t>would be</w:t>
      </w:r>
      <w:r w:rsidRPr="00721467">
        <w:t xml:space="preserve"> amended to adjust the affordability requirements as follows: </w:t>
      </w:r>
    </w:p>
    <w:p w14:paraId="00C403A5" w14:textId="77777777" w:rsidR="00721467" w:rsidRPr="00721467" w:rsidRDefault="00721467" w:rsidP="00721467">
      <w:pPr>
        <w:ind w:left="720"/>
      </w:pPr>
    </w:p>
    <w:p w14:paraId="61817F47" w14:textId="77777777" w:rsidR="00721467" w:rsidRDefault="00721467" w:rsidP="00721467">
      <w:pPr>
        <w:numPr>
          <w:ilvl w:val="0"/>
          <w:numId w:val="4"/>
        </w:numPr>
      </w:pPr>
      <w:r w:rsidRPr="00721467">
        <w:t xml:space="preserve">Increase the required percentage of affordable housing in new development in Town Center from 10 percent to 15 percent; and </w:t>
      </w:r>
    </w:p>
    <w:p w14:paraId="13BE8603" w14:textId="77777777" w:rsidR="00721467" w:rsidRPr="00721467" w:rsidRDefault="00721467" w:rsidP="00721467">
      <w:pPr>
        <w:ind w:left="1440"/>
      </w:pPr>
    </w:p>
    <w:p w14:paraId="3FFCC1D3" w14:textId="77777777" w:rsidR="00721467" w:rsidRDefault="00721467" w:rsidP="00721467">
      <w:pPr>
        <w:numPr>
          <w:ilvl w:val="0"/>
          <w:numId w:val="4"/>
        </w:numPr>
      </w:pPr>
      <w:r w:rsidRPr="00721467">
        <w:t xml:space="preserve">Deepen the affordability requirement for affordable housing units in new development in Town Center from 60 percent to 50 percent of the </w:t>
      </w:r>
      <w:r w:rsidRPr="00721467">
        <w:lastRenderedPageBreak/>
        <w:t>area median income (AMI) for rental housing and from 90 percent to 80 percent of the AMI for ownership housing.</w:t>
      </w:r>
    </w:p>
    <w:p w14:paraId="0737C329" w14:textId="77777777" w:rsidR="00721467" w:rsidRPr="00721467" w:rsidRDefault="00721467" w:rsidP="00721467"/>
    <w:p w14:paraId="5EA49F3B" w14:textId="4F25CB5D" w:rsidR="00721467" w:rsidRDefault="00721467" w:rsidP="00721467">
      <w:pPr>
        <w:numPr>
          <w:ilvl w:val="0"/>
          <w:numId w:val="3"/>
        </w:numPr>
      </w:pPr>
      <w:r w:rsidRPr="00721467">
        <w:rPr>
          <w:b/>
          <w:bCs/>
        </w:rPr>
        <w:t>MICC 19.11.060</w:t>
      </w:r>
      <w:r w:rsidR="00157400">
        <w:rPr>
          <w:b/>
          <w:bCs/>
        </w:rPr>
        <w:t xml:space="preserve"> – Site Design</w:t>
      </w:r>
      <w:r w:rsidRPr="00721467">
        <w:t xml:space="preserve">: This section </w:t>
      </w:r>
      <w:r>
        <w:t>would be</w:t>
      </w:r>
      <w:r w:rsidRPr="00721467">
        <w:t xml:space="preserve"> amended to update the subarea names to remain consistent with changes to MICC 19.11.015.</w:t>
      </w:r>
    </w:p>
    <w:p w14:paraId="1D14FFB8" w14:textId="77777777" w:rsidR="00721467" w:rsidRPr="00721467" w:rsidRDefault="00721467" w:rsidP="00721467">
      <w:pPr>
        <w:ind w:left="360"/>
      </w:pPr>
    </w:p>
    <w:p w14:paraId="6C7D83A1" w14:textId="48157670" w:rsidR="00721467" w:rsidRPr="00721467" w:rsidRDefault="00721467" w:rsidP="00721467">
      <w:pPr>
        <w:numPr>
          <w:ilvl w:val="0"/>
          <w:numId w:val="3"/>
        </w:numPr>
      </w:pPr>
      <w:r w:rsidRPr="00721467">
        <w:rPr>
          <w:b/>
          <w:bCs/>
        </w:rPr>
        <w:t>MICC 19.11.100</w:t>
      </w:r>
      <w:r w:rsidR="00157400">
        <w:rPr>
          <w:b/>
          <w:bCs/>
        </w:rPr>
        <w:t xml:space="preserve"> – Building Design</w:t>
      </w:r>
      <w:r w:rsidRPr="00721467">
        <w:t xml:space="preserve">: This section </w:t>
      </w:r>
      <w:r>
        <w:t>would be</w:t>
      </w:r>
      <w:r w:rsidRPr="00721467">
        <w:t xml:space="preserve"> amended to update the subarea names to remain consistent with changes to MICC 19.11.015.</w:t>
      </w:r>
    </w:p>
    <w:p w14:paraId="1B3B672A" w14:textId="77777777" w:rsidR="00721467" w:rsidRPr="00721467" w:rsidRDefault="00721467" w:rsidP="00721467"/>
    <w:sectPr w:rsidR="00721467" w:rsidRPr="00721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40167"/>
    <w:multiLevelType w:val="hybridMultilevel"/>
    <w:tmpl w:val="FB6C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7025F"/>
    <w:multiLevelType w:val="hybridMultilevel"/>
    <w:tmpl w:val="5D1A3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67835"/>
    <w:multiLevelType w:val="hybridMultilevel"/>
    <w:tmpl w:val="D17A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27DC2"/>
    <w:multiLevelType w:val="hybridMultilevel"/>
    <w:tmpl w:val="88D86E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4A6547"/>
    <w:multiLevelType w:val="hybridMultilevel"/>
    <w:tmpl w:val="64C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465351">
    <w:abstractNumId w:val="4"/>
  </w:num>
  <w:num w:numId="2" w16cid:durableId="618950510">
    <w:abstractNumId w:val="1"/>
  </w:num>
  <w:num w:numId="3" w16cid:durableId="2062053622">
    <w:abstractNumId w:val="2"/>
  </w:num>
  <w:num w:numId="4" w16cid:durableId="40327940">
    <w:abstractNumId w:val="3"/>
  </w:num>
  <w:num w:numId="5" w16cid:durableId="93736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67"/>
    <w:rsid w:val="00004DF4"/>
    <w:rsid w:val="00157400"/>
    <w:rsid w:val="00162B05"/>
    <w:rsid w:val="002313E5"/>
    <w:rsid w:val="00314A3D"/>
    <w:rsid w:val="00380E74"/>
    <w:rsid w:val="003F66C2"/>
    <w:rsid w:val="00557E7B"/>
    <w:rsid w:val="006C27CC"/>
    <w:rsid w:val="00721467"/>
    <w:rsid w:val="00800656"/>
    <w:rsid w:val="00967633"/>
    <w:rsid w:val="009E3B46"/>
    <w:rsid w:val="00AE75EE"/>
    <w:rsid w:val="00F9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ECC2"/>
  <w15:chartTrackingRefBased/>
  <w15:docId w15:val="{6F45E7B2-54C6-497C-BAC9-09C3AE04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A3D"/>
  </w:style>
  <w:style w:type="paragraph" w:styleId="Heading1">
    <w:name w:val="heading 1"/>
    <w:basedOn w:val="Normal"/>
    <w:next w:val="Normal"/>
    <w:link w:val="Heading1Char"/>
    <w:uiPriority w:val="9"/>
    <w:qFormat/>
    <w:rsid w:val="003F66C2"/>
    <w:pPr>
      <w:keepNext/>
      <w:keepLines/>
      <w:outlineLvl w:val="0"/>
    </w:pPr>
    <w:rPr>
      <w:rFonts w:asciiTheme="majorHAnsi" w:eastAsiaTheme="majorEastAsia" w:hAnsiTheme="majorHAnsi" w:cstheme="majorBidi"/>
      <w:color w:val="538135"/>
      <w:sz w:val="32"/>
      <w:szCs w:val="32"/>
    </w:rPr>
  </w:style>
  <w:style w:type="paragraph" w:styleId="Heading2">
    <w:name w:val="heading 2"/>
    <w:basedOn w:val="Normal"/>
    <w:next w:val="Normal"/>
    <w:link w:val="Heading2Char"/>
    <w:uiPriority w:val="9"/>
    <w:unhideWhenUsed/>
    <w:qFormat/>
    <w:rsid w:val="003F66C2"/>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14A3D"/>
    <w:pPr>
      <w:keepNext/>
      <w:keepLines/>
      <w:spacing w:before="40"/>
      <w:outlineLvl w:val="2"/>
    </w:pPr>
    <w:rPr>
      <w:rFonts w:asciiTheme="majorHAnsi" w:eastAsiaTheme="majorEastAsia" w:hAnsiTheme="majorHAnsi" w:cstheme="majorBidi"/>
      <w:color w:val="1E3D66" w:themeColor="accent1" w:themeShade="7F"/>
      <w:sz w:val="24"/>
    </w:rPr>
  </w:style>
  <w:style w:type="paragraph" w:styleId="Heading4">
    <w:name w:val="heading 4"/>
    <w:basedOn w:val="Normal"/>
    <w:next w:val="Normal"/>
    <w:link w:val="Heading4Char"/>
    <w:uiPriority w:val="9"/>
    <w:semiHidden/>
    <w:unhideWhenUsed/>
    <w:qFormat/>
    <w:rsid w:val="00314A3D"/>
    <w:pPr>
      <w:keepNext/>
      <w:keepLines/>
      <w:spacing w:before="40"/>
      <w:outlineLvl w:val="3"/>
    </w:pPr>
    <w:rPr>
      <w:rFonts w:asciiTheme="majorHAnsi" w:eastAsiaTheme="majorEastAsia" w:hAnsiTheme="majorHAnsi" w:cstheme="majorBidi"/>
      <w:i/>
      <w:iCs/>
      <w:color w:val="2E5C99" w:themeColor="accent1" w:themeShade="BF"/>
    </w:rPr>
  </w:style>
  <w:style w:type="paragraph" w:styleId="Heading5">
    <w:name w:val="heading 5"/>
    <w:basedOn w:val="Normal"/>
    <w:next w:val="Normal"/>
    <w:link w:val="Heading5Char"/>
    <w:uiPriority w:val="9"/>
    <w:semiHidden/>
    <w:unhideWhenUsed/>
    <w:qFormat/>
    <w:rsid w:val="00314A3D"/>
    <w:pPr>
      <w:keepNext/>
      <w:keepLines/>
      <w:spacing w:before="40"/>
      <w:outlineLvl w:val="4"/>
    </w:pPr>
    <w:rPr>
      <w:rFonts w:asciiTheme="majorHAnsi" w:eastAsiaTheme="majorEastAsia" w:hAnsiTheme="majorHAnsi" w:cstheme="majorBidi"/>
      <w:color w:val="2E5C99" w:themeColor="accent1" w:themeShade="BF"/>
    </w:rPr>
  </w:style>
  <w:style w:type="paragraph" w:styleId="Heading6">
    <w:name w:val="heading 6"/>
    <w:basedOn w:val="Normal"/>
    <w:next w:val="Normal"/>
    <w:link w:val="Heading6Char"/>
    <w:uiPriority w:val="9"/>
    <w:semiHidden/>
    <w:unhideWhenUsed/>
    <w:qFormat/>
    <w:rsid w:val="00314A3D"/>
    <w:pPr>
      <w:keepNext/>
      <w:keepLines/>
      <w:spacing w:before="40"/>
      <w:outlineLvl w:val="5"/>
    </w:pPr>
    <w:rPr>
      <w:rFonts w:asciiTheme="majorHAnsi" w:eastAsiaTheme="majorEastAsia" w:hAnsiTheme="majorHAnsi" w:cstheme="majorBidi"/>
      <w:color w:val="1E3D66" w:themeColor="accent1" w:themeShade="7F"/>
    </w:rPr>
  </w:style>
  <w:style w:type="paragraph" w:styleId="Heading7">
    <w:name w:val="heading 7"/>
    <w:basedOn w:val="Normal"/>
    <w:next w:val="Normal"/>
    <w:link w:val="Heading7Char"/>
    <w:uiPriority w:val="9"/>
    <w:semiHidden/>
    <w:unhideWhenUsed/>
    <w:qFormat/>
    <w:rsid w:val="00314A3D"/>
    <w:pPr>
      <w:keepNext/>
      <w:keepLines/>
      <w:spacing w:before="40"/>
      <w:outlineLvl w:val="6"/>
    </w:pPr>
    <w:rPr>
      <w:rFonts w:asciiTheme="majorHAnsi" w:eastAsiaTheme="majorEastAsia" w:hAnsiTheme="majorHAnsi" w:cstheme="majorBidi"/>
      <w:i/>
      <w:iCs/>
      <w:color w:val="1E3D66" w:themeColor="accent1" w:themeShade="7F"/>
    </w:rPr>
  </w:style>
  <w:style w:type="paragraph" w:styleId="Heading8">
    <w:name w:val="heading 8"/>
    <w:basedOn w:val="Normal"/>
    <w:next w:val="Normal"/>
    <w:link w:val="Heading8Char"/>
    <w:uiPriority w:val="9"/>
    <w:semiHidden/>
    <w:unhideWhenUsed/>
    <w:qFormat/>
    <w:rsid w:val="00314A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4A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6C2"/>
    <w:rPr>
      <w:rFonts w:eastAsiaTheme="majorEastAsia" w:cstheme="majorBidi"/>
      <w:b/>
      <w:sz w:val="28"/>
      <w:szCs w:val="26"/>
    </w:rPr>
  </w:style>
  <w:style w:type="paragraph" w:customStyle="1" w:styleId="NoSpacing1">
    <w:name w:val="No Spacing1"/>
    <w:next w:val="NoSpacing"/>
    <w:uiPriority w:val="1"/>
    <w:qFormat/>
    <w:rsid w:val="00314A3D"/>
    <w:rPr>
      <w:rFonts w:ascii="Calibri" w:eastAsia="Times New Roman" w:hAnsi="Calibri" w:cs="Times New Roman"/>
    </w:rPr>
  </w:style>
  <w:style w:type="paragraph" w:styleId="NoSpacing">
    <w:name w:val="No Spacing"/>
    <w:uiPriority w:val="1"/>
    <w:qFormat/>
    <w:rsid w:val="00314A3D"/>
  </w:style>
  <w:style w:type="character" w:customStyle="1" w:styleId="Heading1Char">
    <w:name w:val="Heading 1 Char"/>
    <w:basedOn w:val="DefaultParagraphFont"/>
    <w:link w:val="Heading1"/>
    <w:uiPriority w:val="9"/>
    <w:rsid w:val="003F66C2"/>
    <w:rPr>
      <w:rFonts w:asciiTheme="majorHAnsi" w:eastAsiaTheme="majorEastAsia" w:hAnsiTheme="majorHAnsi" w:cstheme="majorBidi"/>
      <w:color w:val="538135"/>
      <w:sz w:val="32"/>
      <w:szCs w:val="32"/>
    </w:rPr>
  </w:style>
  <w:style w:type="character" w:customStyle="1" w:styleId="Heading3Char">
    <w:name w:val="Heading 3 Char"/>
    <w:basedOn w:val="DefaultParagraphFont"/>
    <w:link w:val="Heading3"/>
    <w:uiPriority w:val="9"/>
    <w:rsid w:val="00314A3D"/>
    <w:rPr>
      <w:rFonts w:asciiTheme="majorHAnsi" w:eastAsiaTheme="majorEastAsia" w:hAnsiTheme="majorHAnsi" w:cstheme="majorBidi"/>
      <w:color w:val="1E3D66" w:themeColor="accent1" w:themeShade="7F"/>
      <w:sz w:val="24"/>
    </w:rPr>
  </w:style>
  <w:style w:type="character" w:customStyle="1" w:styleId="Heading4Char">
    <w:name w:val="Heading 4 Char"/>
    <w:basedOn w:val="DefaultParagraphFont"/>
    <w:link w:val="Heading4"/>
    <w:uiPriority w:val="9"/>
    <w:semiHidden/>
    <w:rsid w:val="00314A3D"/>
    <w:rPr>
      <w:rFonts w:asciiTheme="majorHAnsi" w:eastAsiaTheme="majorEastAsia" w:hAnsiTheme="majorHAnsi" w:cstheme="majorBidi"/>
      <w:i/>
      <w:iCs/>
      <w:color w:val="2E5C99" w:themeColor="accent1" w:themeShade="BF"/>
    </w:rPr>
  </w:style>
  <w:style w:type="character" w:customStyle="1" w:styleId="Heading5Char">
    <w:name w:val="Heading 5 Char"/>
    <w:basedOn w:val="DefaultParagraphFont"/>
    <w:link w:val="Heading5"/>
    <w:uiPriority w:val="9"/>
    <w:semiHidden/>
    <w:rsid w:val="00314A3D"/>
    <w:rPr>
      <w:rFonts w:asciiTheme="majorHAnsi" w:eastAsiaTheme="majorEastAsia" w:hAnsiTheme="majorHAnsi" w:cstheme="majorBidi"/>
      <w:color w:val="2E5C99" w:themeColor="accent1" w:themeShade="BF"/>
    </w:rPr>
  </w:style>
  <w:style w:type="character" w:customStyle="1" w:styleId="Heading6Char">
    <w:name w:val="Heading 6 Char"/>
    <w:basedOn w:val="DefaultParagraphFont"/>
    <w:link w:val="Heading6"/>
    <w:uiPriority w:val="9"/>
    <w:semiHidden/>
    <w:rsid w:val="00314A3D"/>
    <w:rPr>
      <w:rFonts w:asciiTheme="majorHAnsi" w:eastAsiaTheme="majorEastAsia" w:hAnsiTheme="majorHAnsi" w:cstheme="majorBidi"/>
      <w:color w:val="1E3D66" w:themeColor="accent1" w:themeShade="7F"/>
    </w:rPr>
  </w:style>
  <w:style w:type="character" w:customStyle="1" w:styleId="Heading7Char">
    <w:name w:val="Heading 7 Char"/>
    <w:basedOn w:val="DefaultParagraphFont"/>
    <w:link w:val="Heading7"/>
    <w:uiPriority w:val="9"/>
    <w:semiHidden/>
    <w:rsid w:val="00314A3D"/>
    <w:rPr>
      <w:rFonts w:asciiTheme="majorHAnsi" w:eastAsiaTheme="majorEastAsia" w:hAnsiTheme="majorHAnsi" w:cstheme="majorBidi"/>
      <w:i/>
      <w:iCs/>
      <w:color w:val="1E3D66" w:themeColor="accent1" w:themeShade="7F"/>
    </w:rPr>
  </w:style>
  <w:style w:type="character" w:customStyle="1" w:styleId="Heading8Char">
    <w:name w:val="Heading 8 Char"/>
    <w:basedOn w:val="DefaultParagraphFont"/>
    <w:link w:val="Heading8"/>
    <w:uiPriority w:val="9"/>
    <w:semiHidden/>
    <w:rsid w:val="00314A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4A3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14A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A3D"/>
    <w:pPr>
      <w:numPr>
        <w:ilvl w:val="1"/>
      </w:numPr>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314A3D"/>
    <w:rPr>
      <w:rFonts w:eastAsiaTheme="minorEastAsia"/>
      <w:color w:val="5A5A5A" w:themeColor="text1" w:themeTint="A5"/>
      <w:spacing w:val="15"/>
      <w:szCs w:val="22"/>
    </w:rPr>
  </w:style>
  <w:style w:type="paragraph" w:styleId="ListParagraph">
    <w:name w:val="List Paragraph"/>
    <w:basedOn w:val="Normal"/>
    <w:uiPriority w:val="34"/>
    <w:qFormat/>
    <w:rsid w:val="00314A3D"/>
    <w:pPr>
      <w:contextualSpacing/>
    </w:pPr>
    <w:rPr>
      <w:rFonts w:eastAsia="Calibri"/>
      <w:szCs w:val="22"/>
    </w:rPr>
  </w:style>
  <w:style w:type="paragraph" w:styleId="Quote">
    <w:name w:val="Quote"/>
    <w:basedOn w:val="Normal"/>
    <w:next w:val="Normal"/>
    <w:link w:val="QuoteChar"/>
    <w:uiPriority w:val="29"/>
    <w:qFormat/>
    <w:rsid w:val="00314A3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14A3D"/>
    <w:rPr>
      <w:i/>
      <w:iCs/>
      <w:color w:val="404040" w:themeColor="text1" w:themeTint="BF"/>
    </w:rPr>
  </w:style>
  <w:style w:type="paragraph" w:styleId="IntenseQuote">
    <w:name w:val="Intense Quote"/>
    <w:basedOn w:val="Normal"/>
    <w:next w:val="Normal"/>
    <w:link w:val="IntenseQuoteChar"/>
    <w:uiPriority w:val="30"/>
    <w:qFormat/>
    <w:rsid w:val="00314A3D"/>
    <w:pPr>
      <w:pBdr>
        <w:top w:val="single" w:sz="4" w:space="10" w:color="447CC7" w:themeColor="accent1"/>
        <w:bottom w:val="single" w:sz="4" w:space="10" w:color="447CC7" w:themeColor="accent1"/>
      </w:pBdr>
      <w:spacing w:before="360" w:after="360"/>
      <w:ind w:left="864" w:right="864"/>
      <w:jc w:val="center"/>
    </w:pPr>
    <w:rPr>
      <w:i/>
      <w:iCs/>
      <w:color w:val="447CC7" w:themeColor="accent1"/>
    </w:rPr>
  </w:style>
  <w:style w:type="character" w:customStyle="1" w:styleId="IntenseQuoteChar">
    <w:name w:val="Intense Quote Char"/>
    <w:basedOn w:val="DefaultParagraphFont"/>
    <w:link w:val="IntenseQuote"/>
    <w:uiPriority w:val="30"/>
    <w:rsid w:val="00314A3D"/>
    <w:rPr>
      <w:i/>
      <w:iCs/>
      <w:color w:val="447CC7" w:themeColor="accent1"/>
    </w:rPr>
  </w:style>
  <w:style w:type="character" w:styleId="IntenseEmphasis">
    <w:name w:val="Intense Emphasis"/>
    <w:basedOn w:val="DefaultParagraphFont"/>
    <w:uiPriority w:val="21"/>
    <w:qFormat/>
    <w:rsid w:val="00314A3D"/>
    <w:rPr>
      <w:i/>
      <w:iCs/>
      <w:color w:val="447CC7" w:themeColor="accent1"/>
    </w:rPr>
  </w:style>
  <w:style w:type="character" w:styleId="IntenseReference">
    <w:name w:val="Intense Reference"/>
    <w:basedOn w:val="DefaultParagraphFont"/>
    <w:uiPriority w:val="32"/>
    <w:qFormat/>
    <w:rsid w:val="00314A3D"/>
    <w:rPr>
      <w:b/>
      <w:bCs/>
      <w:smallCaps/>
      <w:color w:val="447CC7" w:themeColor="accent1"/>
      <w:spacing w:val="5"/>
    </w:rPr>
  </w:style>
  <w:style w:type="paragraph" w:styleId="TOCHeading">
    <w:name w:val="TOC Heading"/>
    <w:basedOn w:val="Heading1"/>
    <w:next w:val="Normal"/>
    <w:uiPriority w:val="39"/>
    <w:semiHidden/>
    <w:unhideWhenUsed/>
    <w:qFormat/>
    <w:rsid w:val="00314A3D"/>
    <w:pPr>
      <w:jc w:val="left"/>
      <w:outlineLvl w:val="9"/>
    </w:pPr>
    <w:rPr>
      <w:rFonts w:eastAsia="Times New Roman" w:cs="Times New Roman"/>
    </w:rPr>
  </w:style>
  <w:style w:type="character" w:styleId="Hyperlink">
    <w:name w:val="Hyperlink"/>
    <w:basedOn w:val="DefaultParagraphFont"/>
    <w:uiPriority w:val="99"/>
    <w:unhideWhenUsed/>
    <w:rsid w:val="00157400"/>
    <w:rPr>
      <w:color w:val="0563C1" w:themeColor="hyperlink"/>
      <w:u w:val="single"/>
    </w:rPr>
  </w:style>
  <w:style w:type="character" w:styleId="UnresolvedMention">
    <w:name w:val="Unresolved Mention"/>
    <w:basedOn w:val="DefaultParagraphFont"/>
    <w:uiPriority w:val="99"/>
    <w:semiHidden/>
    <w:unhideWhenUsed/>
    <w:rsid w:val="00157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wa/mercer_island/munidocs/munidocs?nodeId=67920b17ffe79" TargetMode="External"/><Relationship Id="rId3" Type="http://schemas.openxmlformats.org/officeDocument/2006/relationships/settings" Target="settings.xml"/><Relationship Id="rId7" Type="http://schemas.openxmlformats.org/officeDocument/2006/relationships/hyperlink" Target="https://library.municode.com/wa/mercer_island/munidocs/munidocs?nodeId=471cd97b5ec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eg.wa.gov/RCW/default.aspx?cite=36.70A" TargetMode="External"/><Relationship Id="rId11" Type="http://schemas.openxmlformats.org/officeDocument/2006/relationships/fontTable" Target="fontTable.xml"/><Relationship Id="rId5" Type="http://schemas.openxmlformats.org/officeDocument/2006/relationships/hyperlink" Target="https://library.municode.com/wa/mercer_island/codes/city_code?nodeId=CICOOR_TIT19UNLADECO_CH19.11TOCEDEDEST" TargetMode="External"/><Relationship Id="rId10" Type="http://schemas.openxmlformats.org/officeDocument/2006/relationships/hyperlink" Target="https://library.municode.com/wa/mercer_island/munidocs/munidocs?nodeId=67920b17ffe79" TargetMode="External"/><Relationship Id="rId4" Type="http://schemas.openxmlformats.org/officeDocument/2006/relationships/webSettings" Target="webSettings.xml"/><Relationship Id="rId9" Type="http://schemas.openxmlformats.org/officeDocument/2006/relationships/hyperlink" Target="https://deptofcommerce.box.com/s/1d9d5l7g509r389f0mjpowh8isjpirlh"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CC7"/>
      </a:accent1>
      <a:accent2>
        <a:srgbClr val="F4B243"/>
      </a:accent2>
      <a:accent3>
        <a:srgbClr val="4E6E5D"/>
      </a:accent3>
      <a:accent4>
        <a:srgbClr val="60463B"/>
      </a:accent4>
      <a:accent5>
        <a:srgbClr val="3F0221"/>
      </a:accent5>
      <a:accent6>
        <a:srgbClr val="70AD47"/>
      </a:accent6>
      <a:hlink>
        <a:srgbClr val="0563C1"/>
      </a:hlink>
      <a:folHlink>
        <a:srgbClr val="954F72"/>
      </a:folHlink>
    </a:clrScheme>
    <a:fontScheme name="Custom 2">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Zack</dc:creator>
  <cp:keywords/>
  <dc:description/>
  <cp:lastModifiedBy>Adam Zack</cp:lastModifiedBy>
  <cp:revision>1</cp:revision>
  <dcterms:created xsi:type="dcterms:W3CDTF">2024-10-04T21:19:00Z</dcterms:created>
  <dcterms:modified xsi:type="dcterms:W3CDTF">2024-10-04T21:56:00Z</dcterms:modified>
</cp:coreProperties>
</file>